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E89" w:rsidRPr="00BD7A60" w:rsidRDefault="00BD7A60" w:rsidP="00EF2105">
      <w:pPr>
        <w:pStyle w:val="a5"/>
        <w:jc w:val="center"/>
        <w:rPr>
          <w:b/>
        </w:rPr>
      </w:pPr>
      <w:r w:rsidRPr="00BD7A60">
        <w:rPr>
          <w:b/>
        </w:rPr>
        <w:t xml:space="preserve">Перечень мероприятий по снижению потерь электроэнергии в сетях                                        </w:t>
      </w:r>
      <w:r w:rsidR="00347C3C">
        <w:rPr>
          <w:b/>
        </w:rPr>
        <w:t>МУП «Новодвинская энергетическая сетевая компания»</w:t>
      </w:r>
      <w:r w:rsidR="008637EE">
        <w:rPr>
          <w:b/>
        </w:rPr>
        <w:t xml:space="preserve"> выполненных в 20</w:t>
      </w:r>
      <w:r w:rsidR="00EF1F9F">
        <w:rPr>
          <w:b/>
        </w:rPr>
        <w:t>2</w:t>
      </w:r>
      <w:r w:rsidR="003005C8">
        <w:rPr>
          <w:b/>
        </w:rPr>
        <w:t>1</w:t>
      </w:r>
      <w:bookmarkStart w:id="0" w:name="_GoBack"/>
      <w:bookmarkEnd w:id="0"/>
      <w:r w:rsidRPr="00BD7A60">
        <w:rPr>
          <w:b/>
        </w:rPr>
        <w:t xml:space="preserve"> году.</w:t>
      </w:r>
    </w:p>
    <w:tbl>
      <w:tblPr>
        <w:tblW w:w="5000" w:type="pct"/>
        <w:tblCellSpacing w:w="0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69"/>
        <w:gridCol w:w="4622"/>
        <w:gridCol w:w="2524"/>
        <w:gridCol w:w="2012"/>
      </w:tblGrid>
      <w:tr w:rsidR="00CC25EC" w:rsidRPr="00FB50CB" w:rsidTr="00610F47">
        <w:trPr>
          <w:tblCellSpacing w:w="0" w:type="dxa"/>
        </w:trPr>
        <w:tc>
          <w:tcPr>
            <w:tcW w:w="474" w:type="dxa"/>
          </w:tcPr>
          <w:p w:rsidR="00CC25EC" w:rsidRPr="00FB50CB" w:rsidRDefault="00CC25EC" w:rsidP="00610F4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4683" w:type="dxa"/>
          </w:tcPr>
          <w:p w:rsidR="00CC25EC" w:rsidRPr="00FB50CB" w:rsidRDefault="00CC25EC" w:rsidP="00D459AE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0CB">
              <w:rPr>
                <w:b/>
              </w:rPr>
              <w:t>Наименование   мероприятий</w:t>
            </w:r>
          </w:p>
        </w:tc>
        <w:tc>
          <w:tcPr>
            <w:tcW w:w="2550" w:type="dxa"/>
          </w:tcPr>
          <w:p w:rsidR="00CC25EC" w:rsidRPr="00FB50CB" w:rsidRDefault="00CC25EC" w:rsidP="00CC25EC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FB50CB">
              <w:rPr>
                <w:b/>
              </w:rPr>
              <w:t>Источник финансирования</w:t>
            </w:r>
          </w:p>
        </w:tc>
        <w:tc>
          <w:tcPr>
            <w:tcW w:w="2040" w:type="dxa"/>
          </w:tcPr>
          <w:p w:rsidR="00CC25EC" w:rsidRPr="00FB50CB" w:rsidRDefault="00CC25EC" w:rsidP="00D459A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</w:tr>
      <w:tr w:rsidR="00610F47" w:rsidRPr="00FB50CB" w:rsidTr="00610F47">
        <w:trPr>
          <w:tblCellSpacing w:w="0" w:type="dxa"/>
        </w:trPr>
        <w:tc>
          <w:tcPr>
            <w:tcW w:w="9747" w:type="dxa"/>
            <w:gridSpan w:val="4"/>
            <w:vAlign w:val="center"/>
          </w:tcPr>
          <w:p w:rsidR="00610F47" w:rsidRPr="00FB50CB" w:rsidRDefault="00610F47" w:rsidP="00610F4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Организационные мероприятия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CC25EC" w:rsidRDefault="00347C3C" w:rsidP="00610F47">
            <w:pPr>
              <w:spacing w:before="100" w:beforeAutospacing="1" w:after="100" w:afterAutospacing="1"/>
              <w:jc w:val="center"/>
            </w:pPr>
            <w:r>
              <w:t>1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Отключение в режимах малых нагрузок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Pr="002A5DE4" w:rsidRDefault="00CC25EC" w:rsidP="00D459AE">
            <w:pPr>
              <w:jc w:val="center"/>
            </w:pP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CC25EC" w:rsidRDefault="00347C3C" w:rsidP="00610F47">
            <w:pPr>
              <w:spacing w:before="100" w:beforeAutospacing="1" w:after="100" w:afterAutospacing="1"/>
              <w:jc w:val="center"/>
            </w:pPr>
            <w:r>
              <w:t>2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Отключение трансформаторов на подстанциях с сезонной нагрузкой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Pr="002A5DE4" w:rsidRDefault="0007477E" w:rsidP="00D459AE">
            <w:pPr>
              <w:jc w:val="center"/>
            </w:pPr>
            <w:r>
              <w:t>В летний период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CC25EC" w:rsidRDefault="00347C3C" w:rsidP="00610F47">
            <w:pPr>
              <w:spacing w:before="100" w:beforeAutospacing="1" w:after="100" w:afterAutospacing="1"/>
              <w:jc w:val="center"/>
            </w:pPr>
            <w:r>
              <w:t>3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Выравнивание нагрузок фаз в электросетях 0,38 кВ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Pr="002A5DE4" w:rsidRDefault="0007477E" w:rsidP="0007477E">
            <w:pPr>
              <w:jc w:val="center"/>
            </w:pPr>
            <w:r>
              <w:t>Постоянно, по мере выявления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CC25EC" w:rsidRDefault="00347C3C" w:rsidP="00610F47">
            <w:pPr>
              <w:spacing w:before="100" w:beforeAutospacing="1" w:after="100" w:afterAutospacing="1"/>
              <w:jc w:val="center"/>
            </w:pPr>
            <w:r>
              <w:t>4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Сокращение продолжительности ремонта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Pr="002A5DE4" w:rsidRDefault="00CC25EC" w:rsidP="00D459AE">
            <w:pPr>
              <w:jc w:val="center"/>
            </w:pP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CC25EC" w:rsidRDefault="00347C3C" w:rsidP="00610F47">
            <w:pPr>
              <w:spacing w:before="100" w:beforeAutospacing="1" w:after="100" w:afterAutospacing="1"/>
              <w:jc w:val="center"/>
            </w:pPr>
            <w:r>
              <w:t>5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Снижение расхода электроэнергии на собственные нужды подстанций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Pr="002A5DE4" w:rsidRDefault="00CC25EC" w:rsidP="00D459AE">
            <w:pPr>
              <w:jc w:val="center"/>
            </w:pP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CC25EC" w:rsidRDefault="00347C3C" w:rsidP="00610F47">
            <w:pPr>
              <w:spacing w:before="100" w:beforeAutospacing="1" w:after="100" w:afterAutospacing="1"/>
              <w:jc w:val="center"/>
            </w:pPr>
            <w:r>
              <w:t>6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Выявление неучтенной электроэнергии в результате проведения рейдов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Pr="002A5DE4" w:rsidRDefault="0007477E" w:rsidP="00D459AE">
            <w:pPr>
              <w:jc w:val="center"/>
            </w:pPr>
            <w:r>
              <w:t>Постоянно, по графику проведения рейдов</w:t>
            </w:r>
          </w:p>
        </w:tc>
      </w:tr>
      <w:tr w:rsidR="00610F47" w:rsidRPr="002A5DE4" w:rsidTr="00610F47">
        <w:trPr>
          <w:tblCellSpacing w:w="0" w:type="dxa"/>
        </w:trPr>
        <w:tc>
          <w:tcPr>
            <w:tcW w:w="9747" w:type="dxa"/>
            <w:gridSpan w:val="4"/>
            <w:vAlign w:val="center"/>
          </w:tcPr>
          <w:p w:rsidR="00610F47" w:rsidRPr="002A5DE4" w:rsidRDefault="00610F47" w:rsidP="00610F47">
            <w:pPr>
              <w:jc w:val="center"/>
            </w:pPr>
            <w:r w:rsidRPr="002A5DE4">
              <w:rPr>
                <w:b/>
              </w:rPr>
              <w:t>Технические</w:t>
            </w:r>
            <w:r>
              <w:rPr>
                <w:b/>
              </w:rPr>
              <w:t xml:space="preserve"> мероприятия</w:t>
            </w:r>
          </w:p>
        </w:tc>
      </w:tr>
      <w:tr w:rsidR="00CC25EC" w:rsidRPr="004036F3" w:rsidTr="00610F47">
        <w:trPr>
          <w:trHeight w:val="47"/>
          <w:tblCellSpacing w:w="0" w:type="dxa"/>
        </w:trPr>
        <w:tc>
          <w:tcPr>
            <w:tcW w:w="474" w:type="dxa"/>
          </w:tcPr>
          <w:p w:rsidR="00CC25EC" w:rsidRPr="00FB50CB" w:rsidRDefault="00610F47" w:rsidP="00610F47">
            <w:pPr>
              <w:spacing w:before="100" w:beforeAutospacing="1" w:after="100" w:afterAutospacing="1"/>
              <w:jc w:val="center"/>
            </w:pPr>
            <w:r>
              <w:t>7</w:t>
            </w:r>
          </w:p>
        </w:tc>
        <w:tc>
          <w:tcPr>
            <w:tcW w:w="4683" w:type="dxa"/>
          </w:tcPr>
          <w:p w:rsidR="00CC25EC" w:rsidRPr="002A5DE4" w:rsidRDefault="00CC25EC" w:rsidP="00D459AE">
            <w:pPr>
              <w:spacing w:before="100" w:beforeAutospacing="1" w:after="100" w:afterAutospacing="1"/>
            </w:pPr>
            <w:r w:rsidRPr="002A5DE4">
              <w:t>Замена проводов на перегруженных линиях</w:t>
            </w:r>
          </w:p>
        </w:tc>
        <w:tc>
          <w:tcPr>
            <w:tcW w:w="2550" w:type="dxa"/>
          </w:tcPr>
          <w:p w:rsidR="00CC25EC" w:rsidRPr="004036F3" w:rsidRDefault="00610F47" w:rsidP="00CC25E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Ремонтный фонд</w:t>
            </w:r>
          </w:p>
        </w:tc>
        <w:tc>
          <w:tcPr>
            <w:tcW w:w="2040" w:type="dxa"/>
          </w:tcPr>
          <w:p w:rsidR="00CC25EC" w:rsidRPr="004036F3" w:rsidRDefault="00CC25EC" w:rsidP="00D459A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Согласно графику</w:t>
            </w:r>
          </w:p>
        </w:tc>
      </w:tr>
      <w:tr w:rsidR="00610F47" w:rsidTr="00610F47">
        <w:trPr>
          <w:tblCellSpacing w:w="0" w:type="dxa"/>
        </w:trPr>
        <w:tc>
          <w:tcPr>
            <w:tcW w:w="474" w:type="dxa"/>
          </w:tcPr>
          <w:p w:rsidR="00610F47" w:rsidRPr="00FB50CB" w:rsidRDefault="00610F47" w:rsidP="00610F47">
            <w:pPr>
              <w:spacing w:before="100" w:beforeAutospacing="1" w:after="100" w:afterAutospacing="1"/>
              <w:jc w:val="center"/>
            </w:pPr>
            <w:r>
              <w:t>8</w:t>
            </w:r>
          </w:p>
        </w:tc>
        <w:tc>
          <w:tcPr>
            <w:tcW w:w="4683" w:type="dxa"/>
          </w:tcPr>
          <w:p w:rsidR="00610F47" w:rsidRPr="002A5DE4" w:rsidRDefault="00610F47" w:rsidP="00D459AE">
            <w:pPr>
              <w:spacing w:before="100" w:beforeAutospacing="1" w:after="100" w:afterAutospacing="1"/>
            </w:pPr>
            <w:r w:rsidRPr="002A5DE4">
              <w:t>Замена ответвлений от ВЛ 0,38 кВ к зданиям</w:t>
            </w:r>
          </w:p>
        </w:tc>
        <w:tc>
          <w:tcPr>
            <w:tcW w:w="2550" w:type="dxa"/>
          </w:tcPr>
          <w:p w:rsidR="00610F47" w:rsidRPr="004036F3" w:rsidRDefault="00610F47" w:rsidP="000B4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Ремонтный фонд</w:t>
            </w:r>
          </w:p>
        </w:tc>
        <w:tc>
          <w:tcPr>
            <w:tcW w:w="2040" w:type="dxa"/>
          </w:tcPr>
          <w:p w:rsidR="00610F47" w:rsidRDefault="00610F47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610F47" w:rsidTr="00610F47">
        <w:trPr>
          <w:tblCellSpacing w:w="0" w:type="dxa"/>
        </w:trPr>
        <w:tc>
          <w:tcPr>
            <w:tcW w:w="474" w:type="dxa"/>
          </w:tcPr>
          <w:p w:rsidR="00610F47" w:rsidRPr="00FB50CB" w:rsidRDefault="00610F47" w:rsidP="00610F47">
            <w:pPr>
              <w:spacing w:before="100" w:beforeAutospacing="1" w:after="100" w:afterAutospacing="1"/>
              <w:jc w:val="center"/>
            </w:pPr>
            <w:r>
              <w:t>9</w:t>
            </w:r>
          </w:p>
        </w:tc>
        <w:tc>
          <w:tcPr>
            <w:tcW w:w="4683" w:type="dxa"/>
          </w:tcPr>
          <w:p w:rsidR="00610F47" w:rsidRPr="002A5DE4" w:rsidRDefault="00610F47" w:rsidP="00D459AE">
            <w:pPr>
              <w:spacing w:before="100" w:beforeAutospacing="1" w:after="100" w:afterAutospacing="1"/>
            </w:pPr>
            <w:r w:rsidRPr="002A5DE4">
              <w:t>Замена перегруженных и установка и ввод в работу дополнительных силовых трансформаторов на эксплуатируемых подстанциях</w:t>
            </w:r>
          </w:p>
        </w:tc>
        <w:tc>
          <w:tcPr>
            <w:tcW w:w="2550" w:type="dxa"/>
          </w:tcPr>
          <w:p w:rsidR="00610F47" w:rsidRPr="004036F3" w:rsidRDefault="00610F47" w:rsidP="000B4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Ремонтный фонд</w:t>
            </w:r>
          </w:p>
        </w:tc>
        <w:tc>
          <w:tcPr>
            <w:tcW w:w="2040" w:type="dxa"/>
          </w:tcPr>
          <w:p w:rsidR="00610F47" w:rsidRDefault="00610F47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610F47" w:rsidTr="00610F47">
        <w:trPr>
          <w:tblCellSpacing w:w="0" w:type="dxa"/>
        </w:trPr>
        <w:tc>
          <w:tcPr>
            <w:tcW w:w="474" w:type="dxa"/>
          </w:tcPr>
          <w:p w:rsidR="00610F47" w:rsidRPr="00FB50CB" w:rsidRDefault="00610F47" w:rsidP="00610F47">
            <w:pPr>
              <w:spacing w:before="100" w:beforeAutospacing="1" w:after="100" w:afterAutospacing="1"/>
              <w:jc w:val="center"/>
            </w:pPr>
            <w:r>
              <w:t>10</w:t>
            </w:r>
          </w:p>
        </w:tc>
        <w:tc>
          <w:tcPr>
            <w:tcW w:w="4683" w:type="dxa"/>
          </w:tcPr>
          <w:p w:rsidR="00610F47" w:rsidRPr="002A5DE4" w:rsidRDefault="00610F47" w:rsidP="00D459AE">
            <w:pPr>
              <w:spacing w:before="100" w:beforeAutospacing="1" w:after="100" w:afterAutospacing="1"/>
            </w:pPr>
            <w:r w:rsidRPr="002A5DE4">
              <w:t>Замена недогруженных силовых трансформаторов</w:t>
            </w:r>
          </w:p>
        </w:tc>
        <w:tc>
          <w:tcPr>
            <w:tcW w:w="2550" w:type="dxa"/>
          </w:tcPr>
          <w:p w:rsidR="00610F47" w:rsidRPr="004036F3" w:rsidRDefault="00610F47" w:rsidP="000B47C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Ремонтный фонд</w:t>
            </w:r>
          </w:p>
        </w:tc>
        <w:tc>
          <w:tcPr>
            <w:tcW w:w="2040" w:type="dxa"/>
          </w:tcPr>
          <w:p w:rsidR="00610F47" w:rsidRDefault="00610F47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610F47" w:rsidRPr="002A5DE4" w:rsidTr="00610F47">
        <w:trPr>
          <w:tblCellSpacing w:w="0" w:type="dxa"/>
        </w:trPr>
        <w:tc>
          <w:tcPr>
            <w:tcW w:w="9747" w:type="dxa"/>
            <w:gridSpan w:val="4"/>
            <w:vAlign w:val="center"/>
          </w:tcPr>
          <w:p w:rsidR="00610F47" w:rsidRPr="00610F47" w:rsidRDefault="00610F47" w:rsidP="00610F47">
            <w:pPr>
              <w:spacing w:before="100" w:beforeAutospacing="1" w:after="100" w:afterAutospacing="1"/>
              <w:jc w:val="center"/>
              <w:rPr>
                <w:b/>
              </w:rPr>
            </w:pPr>
            <w:r w:rsidRPr="002A5DE4">
              <w:rPr>
                <w:b/>
              </w:rPr>
              <w:t>Мероприятия по совершенствованию систем расчетного и технического учета электроэнергии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FB50CB" w:rsidRDefault="00610F47" w:rsidP="00610F47">
            <w:pPr>
              <w:spacing w:before="100" w:beforeAutospacing="1" w:after="100" w:afterAutospacing="1"/>
              <w:jc w:val="center"/>
            </w:pPr>
            <w:r>
              <w:t>11</w:t>
            </w:r>
          </w:p>
        </w:tc>
        <w:tc>
          <w:tcPr>
            <w:tcW w:w="4683" w:type="dxa"/>
          </w:tcPr>
          <w:p w:rsidR="00CC25EC" w:rsidRPr="00182FF8" w:rsidRDefault="00CC25EC" w:rsidP="00D459AE">
            <w:pPr>
              <w:spacing w:before="100" w:beforeAutospacing="1" w:after="100" w:afterAutospacing="1"/>
            </w:pPr>
            <w:r w:rsidRPr="00182FF8">
              <w:t>Проведение рейдов по выявлению неучтенной электроэнергии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Pr="00FB50CB" w:rsidRDefault="00610F47" w:rsidP="00610F47">
            <w:pPr>
              <w:spacing w:before="100" w:beforeAutospacing="1" w:after="100" w:afterAutospacing="1"/>
              <w:jc w:val="center"/>
            </w:pPr>
            <w:r>
              <w:t>12</w:t>
            </w:r>
          </w:p>
        </w:tc>
        <w:tc>
          <w:tcPr>
            <w:tcW w:w="4683" w:type="dxa"/>
          </w:tcPr>
          <w:p w:rsidR="00CC25EC" w:rsidRPr="00182FF8" w:rsidRDefault="00CC25EC" w:rsidP="00D459AE">
            <w:pPr>
              <w:spacing w:before="100" w:beforeAutospacing="1" w:after="100" w:afterAutospacing="1"/>
            </w:pPr>
            <w:r w:rsidRPr="00182FF8">
              <w:t>Организация равномерного снятия показаний электросчетчиков строго в установленные сроки по группам потребителей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13</w:t>
            </w:r>
          </w:p>
        </w:tc>
        <w:tc>
          <w:tcPr>
            <w:tcW w:w="4683" w:type="dxa"/>
          </w:tcPr>
          <w:p w:rsidR="00CC25EC" w:rsidRPr="00182FF8" w:rsidRDefault="00CC25EC" w:rsidP="00D459AE">
            <w:pPr>
              <w:spacing w:before="100" w:beforeAutospacing="1" w:after="100" w:afterAutospacing="1"/>
            </w:pPr>
            <w:r w:rsidRPr="00182FF8">
              <w:t>Проведение поверки и калибровки электросчетчиков с просроченными сроками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14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>Пломбирование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15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>Выделение цепей учета электроэнергии на отдельные обмотки трансформаторов тока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16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>Устранение недогрузки и перегрузки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17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>Установка электросчетчиков повышенных классов точности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18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>Ремонт электросчетчиков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19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>Установка дополнительной аппаратуры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20</w:t>
            </w:r>
          </w:p>
        </w:tc>
        <w:tc>
          <w:tcPr>
            <w:tcW w:w="4683" w:type="dxa"/>
          </w:tcPr>
          <w:p w:rsidR="00CC25EC" w:rsidRPr="004B343E" w:rsidRDefault="00CC25EC" w:rsidP="00D459AE">
            <w:pPr>
              <w:spacing w:before="100" w:beforeAutospacing="1" w:after="100" w:afterAutospacing="1"/>
            </w:pPr>
            <w:r w:rsidRPr="004B343E">
              <w:t xml:space="preserve">Проведение проверок и обеспечение своевременности и правильности снятий показаний электросчетчиков на электростанциях и подстанциях 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CC25EC" w:rsidP="00CC25EC">
            <w:pPr>
              <w:jc w:val="center"/>
            </w:pPr>
            <w:r w:rsidRPr="001F300C">
              <w:rPr>
                <w:sz w:val="18"/>
                <w:szCs w:val="18"/>
              </w:rPr>
              <w:t>Согласно графику</w:t>
            </w:r>
          </w:p>
        </w:tc>
      </w:tr>
      <w:tr w:rsidR="00CC25EC" w:rsidRPr="002A5DE4" w:rsidTr="00610F47">
        <w:trPr>
          <w:tblCellSpacing w:w="0" w:type="dxa"/>
        </w:trPr>
        <w:tc>
          <w:tcPr>
            <w:tcW w:w="474" w:type="dxa"/>
          </w:tcPr>
          <w:p w:rsidR="00CC25EC" w:rsidRDefault="00610F47" w:rsidP="00610F47">
            <w:pPr>
              <w:spacing w:before="100" w:beforeAutospacing="1" w:after="100" w:afterAutospacing="1"/>
              <w:jc w:val="center"/>
            </w:pPr>
            <w:r>
              <w:t>21</w:t>
            </w:r>
          </w:p>
        </w:tc>
        <w:tc>
          <w:tcPr>
            <w:tcW w:w="4683" w:type="dxa"/>
          </w:tcPr>
          <w:p w:rsidR="00CC25EC" w:rsidRPr="004B343E" w:rsidRDefault="00CC25EC" w:rsidP="00610F47">
            <w:pPr>
              <w:spacing w:before="100" w:beforeAutospacing="1" w:after="100" w:afterAutospacing="1"/>
            </w:pPr>
            <w:r w:rsidRPr="004B343E">
              <w:t>Составление и анализ небалансов электроэнергии по подстанциям</w:t>
            </w:r>
          </w:p>
        </w:tc>
        <w:tc>
          <w:tcPr>
            <w:tcW w:w="2550" w:type="dxa"/>
          </w:tcPr>
          <w:p w:rsidR="00CC25EC" w:rsidRPr="002A5DE4" w:rsidRDefault="00CC25EC" w:rsidP="00CC25EC">
            <w:pPr>
              <w:jc w:val="center"/>
            </w:pPr>
            <w:r w:rsidRPr="002A5DE4">
              <w:t>Эксплуатационные расходы</w:t>
            </w:r>
          </w:p>
        </w:tc>
        <w:tc>
          <w:tcPr>
            <w:tcW w:w="2040" w:type="dxa"/>
          </w:tcPr>
          <w:p w:rsidR="00CC25EC" w:rsidRDefault="00603AA3" w:rsidP="00CC25EC">
            <w:pPr>
              <w:jc w:val="center"/>
            </w:pPr>
            <w:r>
              <w:t>ежемесячно</w:t>
            </w:r>
          </w:p>
        </w:tc>
      </w:tr>
    </w:tbl>
    <w:p w:rsidR="002C28A1" w:rsidRDefault="002C28A1" w:rsidP="00610F47">
      <w:pPr>
        <w:pStyle w:val="a5"/>
      </w:pPr>
    </w:p>
    <w:sectPr w:rsidR="002C28A1" w:rsidSect="00347C3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26B9F"/>
    <w:multiLevelType w:val="multilevel"/>
    <w:tmpl w:val="105E4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4164CDB"/>
    <w:multiLevelType w:val="multilevel"/>
    <w:tmpl w:val="78F61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9D417E"/>
    <w:multiLevelType w:val="multilevel"/>
    <w:tmpl w:val="6F28EF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485943"/>
    <w:multiLevelType w:val="multilevel"/>
    <w:tmpl w:val="3E247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A8D2FDD"/>
    <w:multiLevelType w:val="multilevel"/>
    <w:tmpl w:val="CD421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77CB0"/>
    <w:multiLevelType w:val="hybridMultilevel"/>
    <w:tmpl w:val="E974CCC2"/>
    <w:lvl w:ilvl="0" w:tplc="CA0E3162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 w15:restartNumberingAfterBreak="0">
    <w:nsid w:val="44E2640B"/>
    <w:multiLevelType w:val="multilevel"/>
    <w:tmpl w:val="6F00B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976B7D"/>
    <w:multiLevelType w:val="hybridMultilevel"/>
    <w:tmpl w:val="6A28E8B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BAF4B67"/>
    <w:multiLevelType w:val="multilevel"/>
    <w:tmpl w:val="F84E61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E40A75"/>
    <w:multiLevelType w:val="multilevel"/>
    <w:tmpl w:val="9D403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F302BD5"/>
    <w:multiLevelType w:val="multilevel"/>
    <w:tmpl w:val="1318F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5"/>
  </w:num>
  <w:num w:numId="4">
    <w:abstractNumId w:val="8"/>
  </w:num>
  <w:num w:numId="5">
    <w:abstractNumId w:val="2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284"/>
    <w:rsid w:val="00000AC9"/>
    <w:rsid w:val="0005628A"/>
    <w:rsid w:val="0007194B"/>
    <w:rsid w:val="0007477E"/>
    <w:rsid w:val="001169A6"/>
    <w:rsid w:val="0014691A"/>
    <w:rsid w:val="00147E01"/>
    <w:rsid w:val="00171DD3"/>
    <w:rsid w:val="00182FF8"/>
    <w:rsid w:val="00186000"/>
    <w:rsid w:val="001C302F"/>
    <w:rsid w:val="002A4552"/>
    <w:rsid w:val="002A5DE4"/>
    <w:rsid w:val="002C28A1"/>
    <w:rsid w:val="002C7B8E"/>
    <w:rsid w:val="003005C8"/>
    <w:rsid w:val="003229F9"/>
    <w:rsid w:val="003347AD"/>
    <w:rsid w:val="00347C3C"/>
    <w:rsid w:val="003807D6"/>
    <w:rsid w:val="003F4A28"/>
    <w:rsid w:val="004036F3"/>
    <w:rsid w:val="004257B4"/>
    <w:rsid w:val="004717C0"/>
    <w:rsid w:val="004B343E"/>
    <w:rsid w:val="004C3FAC"/>
    <w:rsid w:val="00533CA4"/>
    <w:rsid w:val="005406B7"/>
    <w:rsid w:val="00594A63"/>
    <w:rsid w:val="005B1906"/>
    <w:rsid w:val="005F4227"/>
    <w:rsid w:val="00603AA3"/>
    <w:rsid w:val="00610F47"/>
    <w:rsid w:val="00615D7F"/>
    <w:rsid w:val="00643DD7"/>
    <w:rsid w:val="00657AAC"/>
    <w:rsid w:val="00695CC2"/>
    <w:rsid w:val="0071782C"/>
    <w:rsid w:val="00786E4F"/>
    <w:rsid w:val="0085677D"/>
    <w:rsid w:val="008637EE"/>
    <w:rsid w:val="00863CD1"/>
    <w:rsid w:val="00911C9B"/>
    <w:rsid w:val="009416B4"/>
    <w:rsid w:val="00943E89"/>
    <w:rsid w:val="009C6319"/>
    <w:rsid w:val="009D10C1"/>
    <w:rsid w:val="009E35BC"/>
    <w:rsid w:val="00A17284"/>
    <w:rsid w:val="00A567B2"/>
    <w:rsid w:val="00A569F6"/>
    <w:rsid w:val="00AD3291"/>
    <w:rsid w:val="00B43F3E"/>
    <w:rsid w:val="00B47BBB"/>
    <w:rsid w:val="00B807FD"/>
    <w:rsid w:val="00BB3F3B"/>
    <w:rsid w:val="00BD7A60"/>
    <w:rsid w:val="00BF49B5"/>
    <w:rsid w:val="00C10CA0"/>
    <w:rsid w:val="00C464B8"/>
    <w:rsid w:val="00CC25EC"/>
    <w:rsid w:val="00D459AE"/>
    <w:rsid w:val="00D6216C"/>
    <w:rsid w:val="00D62BA3"/>
    <w:rsid w:val="00E0212F"/>
    <w:rsid w:val="00EF1F9F"/>
    <w:rsid w:val="00EF2105"/>
    <w:rsid w:val="00F127B7"/>
    <w:rsid w:val="00F259D0"/>
    <w:rsid w:val="00FB2FAF"/>
    <w:rsid w:val="00FB5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F5FCC01-7DF9-4835-AFF5-0C01E742B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7284"/>
  </w:style>
  <w:style w:type="paragraph" w:styleId="1">
    <w:name w:val="heading 1"/>
    <w:basedOn w:val="a"/>
    <w:qFormat/>
    <w:rsid w:val="00C10CA0"/>
    <w:pPr>
      <w:spacing w:before="100" w:beforeAutospacing="1" w:after="100" w:afterAutospacing="1"/>
      <w:outlineLvl w:val="0"/>
    </w:pPr>
    <w:rPr>
      <w:b/>
      <w:bCs/>
      <w:color w:val="5488D5"/>
      <w:kern w:val="36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A17284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table" w:styleId="a4">
    <w:name w:val="Table Grid"/>
    <w:basedOn w:val="a1"/>
    <w:rsid w:val="00A172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rsid w:val="00A17284"/>
    <w:pPr>
      <w:spacing w:before="100" w:beforeAutospacing="1" w:after="100" w:afterAutospacing="1"/>
    </w:pPr>
    <w:rPr>
      <w:sz w:val="24"/>
      <w:szCs w:val="24"/>
    </w:rPr>
  </w:style>
  <w:style w:type="paragraph" w:customStyle="1" w:styleId="just">
    <w:name w:val="just"/>
    <w:basedOn w:val="a"/>
    <w:rsid w:val="00C10CA0"/>
    <w:pPr>
      <w:spacing w:before="120" w:after="120"/>
      <w:jc w:val="both"/>
    </w:pPr>
    <w:rPr>
      <w:sz w:val="16"/>
      <w:szCs w:val="16"/>
    </w:rPr>
  </w:style>
  <w:style w:type="paragraph" w:customStyle="1" w:styleId="text">
    <w:name w:val="text"/>
    <w:basedOn w:val="a"/>
    <w:rsid w:val="00943E89"/>
    <w:pPr>
      <w:ind w:firstLine="600"/>
      <w:jc w:val="both"/>
    </w:pPr>
    <w:rPr>
      <w:sz w:val="24"/>
      <w:szCs w:val="24"/>
    </w:rPr>
  </w:style>
  <w:style w:type="paragraph" w:customStyle="1" w:styleId="zagl">
    <w:name w:val="zagl"/>
    <w:basedOn w:val="a"/>
    <w:rsid w:val="00943E89"/>
    <w:pPr>
      <w:spacing w:before="100" w:beforeAutospacing="1" w:after="100" w:afterAutospacing="1"/>
      <w:ind w:left="150"/>
    </w:pPr>
    <w:rPr>
      <w:rFonts w:ascii="Tahoma" w:hAnsi="Tahoma" w:cs="Tahoma"/>
      <w:b/>
      <w:bCs/>
      <w:color w:val="000080"/>
      <w:sz w:val="24"/>
      <w:szCs w:val="24"/>
    </w:rPr>
  </w:style>
  <w:style w:type="paragraph" w:customStyle="1" w:styleId="aut">
    <w:name w:val="aut"/>
    <w:basedOn w:val="a"/>
    <w:rsid w:val="00943E89"/>
    <w:pPr>
      <w:spacing w:before="100" w:beforeAutospacing="1" w:after="100" w:afterAutospacing="1"/>
      <w:ind w:left="150"/>
    </w:pPr>
    <w:rPr>
      <w:rFonts w:ascii="Tahoma" w:hAnsi="Tahoma" w:cs="Tahoma"/>
      <w:b/>
      <w:bCs/>
      <w:color w:val="008080"/>
    </w:rPr>
  </w:style>
  <w:style w:type="character" w:styleId="a6">
    <w:name w:val="Emphasis"/>
    <w:basedOn w:val="a0"/>
    <w:qFormat/>
    <w:rsid w:val="00786E4F"/>
    <w:rPr>
      <w:i/>
      <w:iCs/>
    </w:rPr>
  </w:style>
  <w:style w:type="paragraph" w:customStyle="1" w:styleId="ConsTitle">
    <w:name w:val="ConsTitle"/>
    <w:rsid w:val="00D459A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BD7A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basedOn w:val="a0"/>
    <w:rsid w:val="002C28A1"/>
    <w:rPr>
      <w:color w:val="1A1ACC"/>
      <w:u w:val="single"/>
    </w:rPr>
  </w:style>
  <w:style w:type="character" w:styleId="a8">
    <w:name w:val="Strong"/>
    <w:basedOn w:val="a0"/>
    <w:qFormat/>
    <w:rsid w:val="00F127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0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2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335949">
              <w:marLeft w:val="7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30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23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04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240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864771">
          <w:marLeft w:val="0"/>
          <w:marRight w:val="0"/>
          <w:marTop w:val="0"/>
          <w:marBottom w:val="0"/>
          <w:divBdr>
            <w:top w:val="double" w:sz="6" w:space="3" w:color="D0E8FF"/>
            <w:left w:val="double" w:sz="6" w:space="3" w:color="D0E8FF"/>
            <w:bottom w:val="double" w:sz="6" w:space="3" w:color="D0E8FF"/>
            <w:right w:val="double" w:sz="6" w:space="3" w:color="D0E8FF"/>
          </w:divBdr>
        </w:div>
      </w:divsChild>
    </w:div>
    <w:div w:id="14489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851740">
          <w:marLeft w:val="225"/>
          <w:marRight w:val="225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60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06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260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Мероприятия по снижению потерь и их энергоэффективность</vt:lpstr>
    </vt:vector>
  </TitlesOfParts>
  <Company>МРСК Северо-Запада</Company>
  <LinksUpToDate>false</LinksUpToDate>
  <CharactersWithSpaces>2525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Мероприятия по снижению потерь и их энергоэффективность</dc:title>
  <dc:creator>muser268</dc:creator>
  <cp:lastModifiedBy>Алексей Косарев</cp:lastModifiedBy>
  <cp:revision>3</cp:revision>
  <cp:lastPrinted>2010-11-15T09:47:00Z</cp:lastPrinted>
  <dcterms:created xsi:type="dcterms:W3CDTF">2021-02-19T11:14:00Z</dcterms:created>
  <dcterms:modified xsi:type="dcterms:W3CDTF">2022-02-21T13:11:00Z</dcterms:modified>
</cp:coreProperties>
</file>